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6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1 (Fixas):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2 (itinerante):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</w:t>
      </w:r>
      <w:r w:rsidDel="00000000" w:rsidR="00000000" w:rsidRPr="00000000">
        <w:rPr>
          <w:b w:val="1"/>
          <w:sz w:val="27"/>
          <w:szCs w:val="27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</w:t>
      </w:r>
      <w:r w:rsidDel="00000000" w:rsidR="00000000" w:rsidRPr="00000000">
        <w:rPr>
          <w:b w:val="1"/>
          <w:sz w:val="27"/>
          <w:szCs w:val="27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)Outros____________________________________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7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0E8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22" name="image2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5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Vh1/+C1ihnPckcu8OZQ4LVWcA==">CgMxLjA4AHIhMWZsVGIxSjYxOG1OdFlleW9wQ0ttSnRTbTBOLVk5ZzYz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