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00F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19" name="image1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          </w: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WzV8PFkhzvhXwgz3r0Davdp9w==">CgMxLjA4AHIhMWh6UGFlQ29vN05TMzFqQ3NHX0NNS3M0blJOQUtTUmps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