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0E6BF5" w:rsidRPr="00A41FBF" w:rsidTr="00421B65">
        <w:trPr>
          <w:trHeight w:val="397"/>
        </w:trPr>
        <w:tc>
          <w:tcPr>
            <w:tcW w:w="10201" w:type="dxa"/>
            <w:shd w:val="clear" w:color="auto" w:fill="auto"/>
            <w:vAlign w:val="center"/>
          </w:tcPr>
          <w:p w:rsidR="000E6BF5" w:rsidRPr="00A41FBF" w:rsidRDefault="000E6BF5" w:rsidP="00B1422E">
            <w:pPr>
              <w:pStyle w:val="Ttulo4"/>
              <w:rPr>
                <w:rFonts w:ascii="Calibri" w:hAnsi="Calibri" w:cs="Calibri"/>
                <w:sz w:val="24"/>
                <w:szCs w:val="24"/>
                <w:u w:val="none"/>
              </w:rPr>
            </w:pPr>
            <w:r w:rsidRPr="00A41FBF">
              <w:rPr>
                <w:rFonts w:ascii="Calibri" w:hAnsi="Calibri" w:cs="Calibri"/>
                <w:sz w:val="24"/>
                <w:szCs w:val="24"/>
                <w:u w:val="none"/>
              </w:rPr>
              <w:t>COMÉRCIO VAREJISTA DE COMBUSTÍVEIS E LUBRIFICANTES, PARA VEÍCULOS AUTOMOTORES E SIMILARES</w:t>
            </w:r>
          </w:p>
        </w:tc>
      </w:tr>
    </w:tbl>
    <w:p w:rsidR="000E6BF5" w:rsidRPr="00A41FBF" w:rsidRDefault="000E6BF5" w:rsidP="000E6BF5">
      <w:pPr>
        <w:autoSpaceDE w:val="0"/>
        <w:autoSpaceDN w:val="0"/>
        <w:adjustRightInd w:val="0"/>
        <w:spacing w:before="0"/>
        <w:rPr>
          <w:rFonts w:ascii="Calibri" w:hAnsi="Calibri" w:cs="Calibri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0E6BF5" w:rsidRPr="00A41FBF" w:rsidTr="00B1422E">
        <w:trPr>
          <w:trHeight w:val="397"/>
        </w:trPr>
        <w:tc>
          <w:tcPr>
            <w:tcW w:w="10771" w:type="dxa"/>
            <w:shd w:val="clear" w:color="auto" w:fill="auto"/>
            <w:vAlign w:val="center"/>
          </w:tcPr>
          <w:p w:rsidR="000E6BF5" w:rsidRPr="00A41FBF" w:rsidRDefault="000E6BF5" w:rsidP="00B73042">
            <w:pPr>
              <w:pStyle w:val="Ttulo4"/>
              <w:rPr>
                <w:rFonts w:ascii="Calibri" w:hAnsi="Calibri" w:cs="Calibri"/>
                <w:sz w:val="24"/>
                <w:szCs w:val="24"/>
                <w:u w:val="none"/>
              </w:rPr>
            </w:pPr>
            <w:r w:rsidRPr="00A41FBF">
              <w:rPr>
                <w:rFonts w:ascii="Calibri" w:hAnsi="Calibri" w:cs="Calibri"/>
                <w:sz w:val="24"/>
                <w:szCs w:val="24"/>
                <w:u w:val="none"/>
              </w:rPr>
              <w:t xml:space="preserve">LICENÇA </w:t>
            </w:r>
            <w:r w:rsidR="00B73042">
              <w:rPr>
                <w:rFonts w:ascii="Calibri" w:hAnsi="Calibri" w:cs="Calibri"/>
                <w:sz w:val="24"/>
                <w:szCs w:val="24"/>
                <w:u w:val="none"/>
              </w:rPr>
              <w:t>CORRETIVA - LC</w:t>
            </w:r>
          </w:p>
        </w:tc>
      </w:tr>
    </w:tbl>
    <w:p w:rsidR="00724418" w:rsidRPr="00FD39EB" w:rsidRDefault="00724418" w:rsidP="00724418">
      <w:pPr>
        <w:pStyle w:val="PargrafodaLista"/>
        <w:autoSpaceDE w:val="0"/>
        <w:autoSpaceDN w:val="0"/>
        <w:adjustRightInd w:val="0"/>
        <w:spacing w:before="0"/>
        <w:ind w:left="426" w:firstLine="0"/>
        <w:rPr>
          <w:rFonts w:ascii="Calibri" w:hAnsi="Calibri" w:cs="Calibri"/>
          <w:bCs/>
          <w:sz w:val="24"/>
          <w:szCs w:val="24"/>
        </w:rPr>
      </w:pP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Requerimento de Licenciamento Ambiental da SEMMA, com a descrição do objeto solicitado, devidamente preenchido e assinado;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Pessoa física: Documento de Identificação Oficial com foto e Cartão de CPF do responsável legal;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Pessoa Jurídica: Cópia do Contrato Social ou Ato Constitutivo com a última Alteração e cópia do CNPJ;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Comprovante de endereço;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Certidão de registro do imóvel;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Certidões negativas (pessoa física, pessoa jurídica e endereço);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Procuração particular com firma reconhecida (responsável técnico);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Comprovante de pagamento da taxa (Documento de Único de Arrecadação Municipal - DUAM);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Croqui de localização e acesso ao local, informando as coordenadas geográficas;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Publicações originais ou cópia autenticada de Jornal de grande Circulação e do Diário Oficial do Estado de Goiás, referente ao requerimento do licenciamento (Resolução CONAMA nº 006/1986);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Certidão de uso do solo, emitida pala Prefeitura Municipal </w:t>
      </w:r>
      <w:r w:rsidRPr="00FD39EB">
        <w:rPr>
          <w:rFonts w:ascii="Calibri" w:hAnsi="Calibri" w:cs="Calibri"/>
          <w:bCs/>
          <w:sz w:val="24"/>
          <w:szCs w:val="24"/>
          <w:u w:val="single"/>
        </w:rPr>
        <w:t>ou</w:t>
      </w:r>
      <w:r w:rsidRPr="00FD39EB">
        <w:rPr>
          <w:rFonts w:ascii="Calibri" w:hAnsi="Calibri" w:cs="Calibri"/>
          <w:bCs/>
          <w:sz w:val="24"/>
          <w:szCs w:val="24"/>
        </w:rPr>
        <w:t>, se não possuir ainda ou a mesma estiver vencida, apresentar requerimento e comprovante de pagamento da taxa de uso do solo;</w:t>
      </w:r>
    </w:p>
    <w:p w:rsidR="003919D6" w:rsidRDefault="00FD39EB" w:rsidP="003919D6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Certificado do Corpo de Bombeiros atualizado;</w:t>
      </w:r>
    </w:p>
    <w:p w:rsidR="003919D6" w:rsidRPr="003919D6" w:rsidRDefault="003919D6" w:rsidP="003919D6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3919D6">
        <w:rPr>
          <w:rFonts w:ascii="Calibri" w:hAnsi="Calibri" w:cs="Calibri"/>
          <w:color w:val="000000"/>
          <w:sz w:val="24"/>
          <w:szCs w:val="24"/>
        </w:rPr>
        <w:t xml:space="preserve">Arquivos no formato KML e/ou </w:t>
      </w:r>
      <w:proofErr w:type="spellStart"/>
      <w:r w:rsidRPr="003919D6">
        <w:rPr>
          <w:rFonts w:ascii="Calibri" w:hAnsi="Calibri" w:cs="Calibri"/>
          <w:color w:val="000000"/>
          <w:sz w:val="24"/>
          <w:szCs w:val="24"/>
        </w:rPr>
        <w:t>Shapefile</w:t>
      </w:r>
      <w:proofErr w:type="spellEnd"/>
      <w:r w:rsidRPr="003919D6">
        <w:rPr>
          <w:rFonts w:ascii="Calibri" w:hAnsi="Calibri" w:cs="Calibri"/>
          <w:color w:val="000000"/>
          <w:sz w:val="24"/>
          <w:szCs w:val="24"/>
        </w:rPr>
        <w:t xml:space="preserve"> da área total do imóvel e da área a licenciar;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Alvará de Funcionamento Municipal atualizado;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Alvará Sanitário ou dispensa atualizado;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Outorga de uso da água ou Dispensa emitida pelo órgão competente, em caso de captação (direta ou poço), se for o caso;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Anuência do responsável pelo serviço de saneamento municipal </w:t>
      </w:r>
      <w:r w:rsidRPr="00FD39EB">
        <w:rPr>
          <w:rFonts w:ascii="Calibri" w:hAnsi="Calibri" w:cs="Calibri"/>
          <w:b/>
          <w:bCs/>
          <w:sz w:val="24"/>
          <w:szCs w:val="24"/>
        </w:rPr>
        <w:t>referente ao manancial de captação de água</w:t>
      </w:r>
      <w:r w:rsidRPr="00FD39EB">
        <w:rPr>
          <w:rFonts w:ascii="Calibri" w:hAnsi="Calibri" w:cs="Calibri"/>
          <w:bCs/>
          <w:sz w:val="24"/>
          <w:szCs w:val="24"/>
        </w:rPr>
        <w:t>, caso este seja de abastecimento público, se for o caso;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Anuência do órgão responsável pelo serviço de saneamento público especifica para o </w:t>
      </w:r>
      <w:r w:rsidRPr="00FD39EB">
        <w:rPr>
          <w:rFonts w:ascii="Calibri" w:hAnsi="Calibri" w:cs="Calibri"/>
          <w:b/>
          <w:bCs/>
          <w:sz w:val="24"/>
          <w:szCs w:val="24"/>
        </w:rPr>
        <w:t>lançamento de efluentes líquidos</w:t>
      </w:r>
      <w:r w:rsidRPr="00FD39EB">
        <w:rPr>
          <w:rFonts w:ascii="Calibri" w:hAnsi="Calibri" w:cs="Calibri"/>
          <w:bCs/>
          <w:sz w:val="24"/>
          <w:szCs w:val="24"/>
        </w:rPr>
        <w:t xml:space="preserve"> na rede pú</w:t>
      </w:r>
      <w:r>
        <w:rPr>
          <w:rFonts w:ascii="Calibri" w:hAnsi="Calibri" w:cs="Calibri"/>
          <w:bCs/>
          <w:sz w:val="24"/>
          <w:szCs w:val="24"/>
        </w:rPr>
        <w:t>blica de esgotamento sanitário;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Certificado de Regularidade do Cadastro Técnico Federal do IBAMA do empreendimento;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Estudo de Impacto de Vizinhança (EIV) (Lei Complementar n°15/2008 e Lei Complementar n°20/2008), com Anotação de Responsabilidade Técnica (ART);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sz w:val="24"/>
          <w:szCs w:val="24"/>
        </w:rPr>
        <w:lastRenderedPageBreak/>
        <w:t>PGRS - Plano de Gerenciamento de Resíduos sólidos, com Anotação de Responsabilidade Técnica (ART)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Autorização para funcionamento da Agê</w:t>
      </w:r>
      <w:r>
        <w:rPr>
          <w:rFonts w:ascii="Calibri" w:hAnsi="Calibri" w:cs="Calibri"/>
          <w:bCs/>
          <w:sz w:val="24"/>
          <w:szCs w:val="24"/>
        </w:rPr>
        <w:t>ncia Nacional de Petróleo – ANP;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Laudo de Estanqueidade válido, em conformidade com a Resolução CEMAM nº29/2018, Art. 50, realizado conforme NBR 13784, com ART;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Certificados de Conformidade para todos os produtos e serviços conforme Resolução nº 319 (CONAMA, 2002) e previstos na Portaria do INMETRO nº 37/2005, 109/2005, 110/2005, 111/2005 e 009/2011;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Investigação de Passivo Ambiental, incluindo medidas de VOC e análise das águas dos poços de monitoramento (BTEX e PAH) (mínimo de 03 furos) e Análise de Riscos em conformidade com a Portaria SEMARH nº. 084/2005 GAB-PRES (com ART), com validade de 02 anos;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Anexo I e II da Resolução nº273 (CONAMA,2000), e da Portaria SEMARH nº084/2005;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Relatório Ambiental contendo a análise do efluente da caixa de inspeção do Sistema de Tratamento de Efluentes Oleosos (STEO) para estes parâmetros: pH; turbidez; óleos e graxas; sólidos sedimentáveis; DBO, DQO e Oxigênio Dissolvido (OD); surfactantes (MBAS) </w:t>
      </w:r>
      <w:r w:rsidRPr="00FD39EB">
        <w:rPr>
          <w:rFonts w:ascii="Calibri" w:hAnsi="Calibri" w:cs="Calibri"/>
          <w:b/>
          <w:bCs/>
          <w:sz w:val="24"/>
          <w:szCs w:val="24"/>
          <w:u w:val="single"/>
        </w:rPr>
        <w:t>se possuir lava jato</w:t>
      </w:r>
      <w:r w:rsidRPr="00FD39EB">
        <w:rPr>
          <w:rFonts w:ascii="Calibri" w:hAnsi="Calibri" w:cs="Calibri"/>
          <w:bCs/>
          <w:sz w:val="24"/>
          <w:szCs w:val="24"/>
        </w:rPr>
        <w:t>; metais (</w:t>
      </w:r>
      <w:proofErr w:type="spellStart"/>
      <w:r w:rsidRPr="00FD39EB">
        <w:rPr>
          <w:rFonts w:ascii="Calibri" w:hAnsi="Calibri" w:cs="Calibri"/>
          <w:bCs/>
          <w:sz w:val="24"/>
          <w:szCs w:val="24"/>
        </w:rPr>
        <w:t>Pb</w:t>
      </w:r>
      <w:proofErr w:type="spellEnd"/>
      <w:r w:rsidRPr="00FD39EB">
        <w:rPr>
          <w:rFonts w:ascii="Calibri" w:hAnsi="Calibri" w:cs="Calibri"/>
          <w:bCs/>
          <w:sz w:val="24"/>
          <w:szCs w:val="24"/>
        </w:rPr>
        <w:t xml:space="preserve">, Zn, Cu, </w:t>
      </w:r>
      <w:proofErr w:type="spellStart"/>
      <w:r w:rsidRPr="00FD39EB">
        <w:rPr>
          <w:rFonts w:ascii="Calibri" w:hAnsi="Calibri" w:cs="Calibri"/>
          <w:bCs/>
          <w:sz w:val="24"/>
          <w:szCs w:val="24"/>
        </w:rPr>
        <w:t>Ni</w:t>
      </w:r>
      <w:proofErr w:type="spellEnd"/>
      <w:r w:rsidRPr="00FD39EB">
        <w:rPr>
          <w:rFonts w:ascii="Calibri" w:hAnsi="Calibri" w:cs="Calibri"/>
          <w:bCs/>
          <w:sz w:val="24"/>
          <w:szCs w:val="24"/>
        </w:rPr>
        <w:t xml:space="preserve">, </w:t>
      </w:r>
      <w:proofErr w:type="spellStart"/>
      <w:r w:rsidRPr="00FD39EB">
        <w:rPr>
          <w:rFonts w:ascii="Calibri" w:hAnsi="Calibri" w:cs="Calibri"/>
          <w:bCs/>
          <w:sz w:val="24"/>
          <w:szCs w:val="24"/>
        </w:rPr>
        <w:t>Cd</w:t>
      </w:r>
      <w:proofErr w:type="spellEnd"/>
      <w:r w:rsidRPr="00FD39EB">
        <w:rPr>
          <w:rFonts w:ascii="Calibri" w:hAnsi="Calibri" w:cs="Calibri"/>
          <w:bCs/>
          <w:sz w:val="24"/>
          <w:szCs w:val="24"/>
        </w:rPr>
        <w:t xml:space="preserve">, Ca e Ba) e hidrocarbonetos totais do petróleo (TPH)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se possuir trocador de óleo</w:t>
      </w:r>
      <w:r w:rsidRPr="00FD39EB">
        <w:rPr>
          <w:rFonts w:ascii="Calibri" w:hAnsi="Calibri" w:cs="Calibri"/>
          <w:bCs/>
          <w:sz w:val="24"/>
          <w:szCs w:val="24"/>
        </w:rPr>
        <w:t>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Contrato e notas fiscais (semestrais) emitidas pela empresa responsável pela manutenção e limpeza das caixas separadoras e tanques de combustíveis e pela coleta e destinação das areias oleosas da caixa de areia, óleo da caixa coletora de óleo, resíduos (borra) de tanques de combustíveis e dos demais produtos ou objetos contaminados com óleo como vasilhames, serragem, </w:t>
      </w:r>
      <w:r>
        <w:rPr>
          <w:rFonts w:ascii="Calibri" w:hAnsi="Calibri" w:cs="Calibri"/>
          <w:bCs/>
          <w:sz w:val="24"/>
          <w:szCs w:val="24"/>
        </w:rPr>
        <w:t>estopas, flanelas entre outros</w:t>
      </w:r>
      <w:r w:rsidRPr="00FD39EB">
        <w:rPr>
          <w:rFonts w:ascii="Calibri" w:hAnsi="Calibri" w:cs="Calibri"/>
          <w:bCs/>
          <w:sz w:val="24"/>
          <w:szCs w:val="24"/>
        </w:rPr>
        <w:t>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Certificados e nota fiscal (semestral) da coleta e destino adequado dos óleos lubrificantes usados e contaminado por empresa certificada pela ANP e licenciada pelo órgão ambiental em conformidade com a Resolução CONAMA nº 362/2005 e da autorização do transporte de produtos perigosos constando loc</w:t>
      </w:r>
      <w:r>
        <w:rPr>
          <w:rFonts w:ascii="Calibri" w:hAnsi="Calibri" w:cs="Calibri"/>
          <w:bCs/>
          <w:sz w:val="24"/>
          <w:szCs w:val="24"/>
        </w:rPr>
        <w:t>al de coleta e local de destino;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Cópia das Licenças Ambientais das empresas prestadoras dos serviços de Coleta, Transporte e Destinação Final, além das Autorização da ANTT para Produtos Perigosos;</w:t>
      </w:r>
    </w:p>
    <w:p w:rsidR="00FD39EB" w:rsidRPr="00FD39EB" w:rsidRDefault="00FD39EB" w:rsidP="00FD39E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Plano de Gerenciamento de Riscos, contendo:</w:t>
      </w:r>
    </w:p>
    <w:p w:rsidR="00FD39EB" w:rsidRPr="00FD39EB" w:rsidRDefault="00FD39EB" w:rsidP="00FD39E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 xml:space="preserve">Plano de verificação da integridade e manutenção dos equipamentos/sistemas, com procedimentos de testes e de verificação da integridade dos sistemas e equipamentos, documentação dos mesmos </w:t>
      </w:r>
      <w:r w:rsidRPr="00FD39EB">
        <w:rPr>
          <w:rFonts w:ascii="Calibri" w:hAnsi="Calibri" w:cs="Calibri"/>
          <w:bCs/>
          <w:sz w:val="24"/>
          <w:szCs w:val="24"/>
        </w:rPr>
        <w:lastRenderedPageBreak/>
        <w:t>e testes realizados, e os procedimentos previstos para correção dos problemas operacionais ou em equipamentos/sistemas;</w:t>
      </w:r>
    </w:p>
    <w:p w:rsidR="00FD39EB" w:rsidRPr="00FD39EB" w:rsidRDefault="00FD39EB" w:rsidP="00FD39E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Plano de atendimento a incidentes/emergências, considerando a comunicação das ocorrências aos órgãos competentes, ações imediatas previstas e a relação de recursos materiais e humanos disponíveis;</w:t>
      </w:r>
    </w:p>
    <w:p w:rsidR="00FD39EB" w:rsidRPr="00FD39EB" w:rsidRDefault="00FD39EB" w:rsidP="00FD39E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bCs/>
          <w:sz w:val="24"/>
          <w:szCs w:val="24"/>
        </w:rPr>
      </w:pPr>
      <w:r w:rsidRPr="00FD39EB">
        <w:rPr>
          <w:rFonts w:ascii="Calibri" w:hAnsi="Calibri" w:cs="Calibri"/>
          <w:bCs/>
          <w:sz w:val="24"/>
          <w:szCs w:val="24"/>
        </w:rPr>
        <w:t>Programa de treinamento dos funcionários, cobrindo as práticas operacionais, a manutenção de equipamentos e sistemas e respostas a incidentes.</w:t>
      </w:r>
    </w:p>
    <w:p w:rsidR="00FD39EB" w:rsidRPr="00FD39EB" w:rsidRDefault="00FD39EB" w:rsidP="00FD39EB">
      <w:pPr>
        <w:autoSpaceDE w:val="0"/>
        <w:autoSpaceDN w:val="0"/>
        <w:adjustRightInd w:val="0"/>
        <w:spacing w:before="0"/>
        <w:ind w:left="426" w:hanging="437"/>
        <w:rPr>
          <w:rFonts w:ascii="Calibri" w:hAnsi="Calibri" w:cs="Calibri"/>
          <w:sz w:val="24"/>
          <w:szCs w:val="24"/>
        </w:rPr>
      </w:pPr>
    </w:p>
    <w:p w:rsidR="003919D6" w:rsidRDefault="003919D6" w:rsidP="003919D6">
      <w:pPr>
        <w:spacing w:before="0" w:line="240" w:lineRule="auto"/>
        <w:ind w:firstLine="0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 xml:space="preserve">OBS: </w:t>
      </w:r>
    </w:p>
    <w:p w:rsidR="003919D6" w:rsidRPr="003919D6" w:rsidRDefault="003919D6" w:rsidP="003919D6">
      <w:pPr>
        <w:spacing w:before="0" w:line="240" w:lineRule="auto"/>
        <w:ind w:firstLine="0"/>
        <w:rPr>
          <w:rFonts w:ascii="Calibri" w:eastAsia="Times New Roman" w:hAnsi="Calibri" w:cs="Calibri"/>
          <w:b/>
          <w:sz w:val="20"/>
          <w:szCs w:val="20"/>
          <w:lang w:eastAsia="pt-BR"/>
        </w:rPr>
      </w:pPr>
      <w:bookmarkStart w:id="0" w:name="_GoBack"/>
      <w:bookmarkEnd w:id="0"/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>1. A análise dos processos de Licenciamento e Autorizações atende ao prazo estipulado pela Resolução Conama n°237/97, que é de 120 (CENTO E VINTE) dias para deferir ou indeferir o processo, quando não houver pendências nas documentações apresentadas.</w:t>
      </w:r>
    </w:p>
    <w:p w:rsidR="003919D6" w:rsidRPr="003919D6" w:rsidRDefault="003919D6" w:rsidP="003919D6">
      <w:pPr>
        <w:spacing w:before="0" w:line="240" w:lineRule="auto"/>
        <w:ind w:firstLine="0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>*Em todos os Relatórios, inserir fotos atualizadas, datadas, com devidas Paginações para melhor identificação;</w:t>
      </w:r>
    </w:p>
    <w:p w:rsidR="003919D6" w:rsidRPr="003919D6" w:rsidRDefault="003919D6" w:rsidP="003919D6">
      <w:pPr>
        <w:spacing w:before="0" w:line="240" w:lineRule="auto"/>
        <w:ind w:firstLine="0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>2. Decreto 9.710 art. 17. § 3º no caso de pedido de LC em razão de seu vencimento pela consequente perda do prazo do pedido de renovação, será devida, além da taxa de licença corretiva, a multa no valor da taxa de renovação da licença expirada, nos termos do disposto no § 3º do art. 16 da lei nº 20.694, de 2019.</w:t>
      </w:r>
    </w:p>
    <w:p w:rsidR="003919D6" w:rsidRPr="003919D6" w:rsidRDefault="003919D6" w:rsidP="003919D6">
      <w:pPr>
        <w:spacing w:before="0" w:line="240" w:lineRule="auto"/>
        <w:ind w:firstLine="0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 xml:space="preserve">3. Os mapas apresentados deverão ser </w:t>
      </w:r>
      <w:proofErr w:type="spellStart"/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>georreferenciados</w:t>
      </w:r>
      <w:proofErr w:type="spellEnd"/>
      <w:r w:rsidRPr="003919D6">
        <w:rPr>
          <w:rFonts w:ascii="Calibri" w:eastAsia="Times New Roman" w:hAnsi="Calibri" w:cs="Calibri"/>
          <w:b/>
          <w:sz w:val="20"/>
          <w:szCs w:val="20"/>
          <w:lang w:eastAsia="pt-BR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 </w:t>
      </w:r>
    </w:p>
    <w:p w:rsidR="001F12AE" w:rsidRPr="00FD39EB" w:rsidRDefault="001F12AE" w:rsidP="00FD39EB">
      <w:pPr>
        <w:pStyle w:val="PargrafodaLista"/>
        <w:ind w:left="0" w:right="-1" w:firstLine="0"/>
        <w:rPr>
          <w:rFonts w:ascii="Calibri" w:hAnsi="Calibri" w:cs="Calibri"/>
          <w:bCs/>
          <w:sz w:val="24"/>
          <w:szCs w:val="24"/>
        </w:rPr>
      </w:pPr>
    </w:p>
    <w:sectPr w:rsidR="001F12AE" w:rsidRPr="00FD39EB" w:rsidSect="003919D6">
      <w:headerReference w:type="default" r:id="rId7"/>
      <w:footerReference w:type="default" r:id="rId8"/>
      <w:pgSz w:w="11906" w:h="16838"/>
      <w:pgMar w:top="1701" w:right="849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B9F" w:rsidRDefault="00C64B9F" w:rsidP="00292E7B">
      <w:pPr>
        <w:spacing w:before="0" w:line="240" w:lineRule="auto"/>
      </w:pPr>
      <w:r>
        <w:separator/>
      </w:r>
    </w:p>
  </w:endnote>
  <w:endnote w:type="continuationSeparator" w:id="0">
    <w:p w:rsidR="00C64B9F" w:rsidRDefault="00C64B9F" w:rsidP="00292E7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9D6" w:rsidRPr="003919D6" w:rsidRDefault="003919D6" w:rsidP="003919D6">
    <w:pPr>
      <w:pStyle w:val="Rodap"/>
      <w:ind w:firstLine="0"/>
      <w:jc w:val="center"/>
      <w:rPr>
        <w:rFonts w:ascii="Calibri" w:hAnsi="Calibri" w:cs="Calibri"/>
        <w:sz w:val="20"/>
      </w:rPr>
    </w:pPr>
    <w:r w:rsidRPr="003919D6">
      <w:rPr>
        <w:rFonts w:ascii="Calibri" w:hAnsi="Calibri" w:cs="Calibri"/>
        <w:sz w:val="20"/>
      </w:rPr>
      <w:t>No decorrer do processo, a SEMMA poderá solicitar informações adicionais, documentos ambientais e legais, ou ainda exigir alterações, conforme as características da área de influência direta e indireta da atividade.</w:t>
    </w:r>
  </w:p>
  <w:p w:rsidR="007D3777" w:rsidRDefault="007D3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B9F" w:rsidRDefault="00C64B9F" w:rsidP="00292E7B">
      <w:pPr>
        <w:spacing w:before="0" w:line="240" w:lineRule="auto"/>
      </w:pPr>
      <w:r>
        <w:separator/>
      </w:r>
    </w:p>
  </w:footnote>
  <w:footnote w:type="continuationSeparator" w:id="0">
    <w:p w:rsidR="00C64B9F" w:rsidRDefault="00C64B9F" w:rsidP="00292E7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481" w:rsidRPr="00021539" w:rsidRDefault="007D3777" w:rsidP="0002153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320000" cy="752593"/>
          <wp:effectExtent l="0" t="0" r="444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752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D4463"/>
    <w:multiLevelType w:val="hybridMultilevel"/>
    <w:tmpl w:val="AB9031C4"/>
    <w:lvl w:ilvl="0" w:tplc="2ACE8A2E">
      <w:start w:val="2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50A0A69"/>
    <w:multiLevelType w:val="hybridMultilevel"/>
    <w:tmpl w:val="0F86C5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166A3F"/>
    <w:multiLevelType w:val="hybridMultilevel"/>
    <w:tmpl w:val="77F68A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40589"/>
    <w:multiLevelType w:val="hybridMultilevel"/>
    <w:tmpl w:val="1C121F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739D4"/>
    <w:multiLevelType w:val="hybridMultilevel"/>
    <w:tmpl w:val="8F30938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5730CEB"/>
    <w:multiLevelType w:val="hybridMultilevel"/>
    <w:tmpl w:val="A37EA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A5D13"/>
    <w:multiLevelType w:val="hybridMultilevel"/>
    <w:tmpl w:val="9E406814"/>
    <w:lvl w:ilvl="0" w:tplc="E080212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B158EB"/>
    <w:multiLevelType w:val="hybridMultilevel"/>
    <w:tmpl w:val="00F410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02A9A"/>
    <w:multiLevelType w:val="hybridMultilevel"/>
    <w:tmpl w:val="44001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5C09FA"/>
    <w:multiLevelType w:val="hybridMultilevel"/>
    <w:tmpl w:val="C152DE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02464F"/>
    <w:multiLevelType w:val="hybridMultilevel"/>
    <w:tmpl w:val="35848190"/>
    <w:lvl w:ilvl="0" w:tplc="F0104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B003F"/>
    <w:multiLevelType w:val="hybridMultilevel"/>
    <w:tmpl w:val="394A5F84"/>
    <w:lvl w:ilvl="0" w:tplc="0416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8"/>
  </w:num>
  <w:num w:numId="5">
    <w:abstractNumId w:val="7"/>
  </w:num>
  <w:num w:numId="6">
    <w:abstractNumId w:val="0"/>
  </w:num>
  <w:num w:numId="7">
    <w:abstractNumId w:val="12"/>
  </w:num>
  <w:num w:numId="8">
    <w:abstractNumId w:val="5"/>
  </w:num>
  <w:num w:numId="9">
    <w:abstractNumId w:val="6"/>
  </w:num>
  <w:num w:numId="10">
    <w:abstractNumId w:val="3"/>
  </w:num>
  <w:num w:numId="11">
    <w:abstractNumId w:val="11"/>
  </w:num>
  <w:num w:numId="12">
    <w:abstractNumId w:val="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B5"/>
    <w:rsid w:val="00001062"/>
    <w:rsid w:val="00021539"/>
    <w:rsid w:val="000257CB"/>
    <w:rsid w:val="00060924"/>
    <w:rsid w:val="000A1689"/>
    <w:rsid w:val="000D4E83"/>
    <w:rsid w:val="000E6BF5"/>
    <w:rsid w:val="00102715"/>
    <w:rsid w:val="00110B04"/>
    <w:rsid w:val="00144EC7"/>
    <w:rsid w:val="00154AB3"/>
    <w:rsid w:val="0017612B"/>
    <w:rsid w:val="00194678"/>
    <w:rsid w:val="00194C93"/>
    <w:rsid w:val="001A41D0"/>
    <w:rsid w:val="001C6CFE"/>
    <w:rsid w:val="001F12AE"/>
    <w:rsid w:val="00240B4C"/>
    <w:rsid w:val="00254C8B"/>
    <w:rsid w:val="00292E7B"/>
    <w:rsid w:val="002A0B80"/>
    <w:rsid w:val="002A6BB0"/>
    <w:rsid w:val="00355901"/>
    <w:rsid w:val="0035595D"/>
    <w:rsid w:val="003919D6"/>
    <w:rsid w:val="00421B65"/>
    <w:rsid w:val="00440306"/>
    <w:rsid w:val="00451598"/>
    <w:rsid w:val="004654D8"/>
    <w:rsid w:val="00482AC7"/>
    <w:rsid w:val="004A069E"/>
    <w:rsid w:val="004B1332"/>
    <w:rsid w:val="004D6BA9"/>
    <w:rsid w:val="004F4AD5"/>
    <w:rsid w:val="004F6645"/>
    <w:rsid w:val="005116AA"/>
    <w:rsid w:val="005A065A"/>
    <w:rsid w:val="005E747E"/>
    <w:rsid w:val="005F0921"/>
    <w:rsid w:val="0062652F"/>
    <w:rsid w:val="006C1A07"/>
    <w:rsid w:val="006C254A"/>
    <w:rsid w:val="006E7F20"/>
    <w:rsid w:val="00724418"/>
    <w:rsid w:val="007312F8"/>
    <w:rsid w:val="007437B5"/>
    <w:rsid w:val="0076181F"/>
    <w:rsid w:val="007759F6"/>
    <w:rsid w:val="00775B4E"/>
    <w:rsid w:val="007B2339"/>
    <w:rsid w:val="007C4F59"/>
    <w:rsid w:val="007D3777"/>
    <w:rsid w:val="007D5481"/>
    <w:rsid w:val="007E0723"/>
    <w:rsid w:val="007E3B8E"/>
    <w:rsid w:val="0081175E"/>
    <w:rsid w:val="00816C05"/>
    <w:rsid w:val="00821375"/>
    <w:rsid w:val="008360BB"/>
    <w:rsid w:val="00871981"/>
    <w:rsid w:val="008B150B"/>
    <w:rsid w:val="008E49DF"/>
    <w:rsid w:val="00910814"/>
    <w:rsid w:val="009637A3"/>
    <w:rsid w:val="00994915"/>
    <w:rsid w:val="009B7067"/>
    <w:rsid w:val="00A12223"/>
    <w:rsid w:val="00A41FBF"/>
    <w:rsid w:val="00A444CF"/>
    <w:rsid w:val="00A46511"/>
    <w:rsid w:val="00A77877"/>
    <w:rsid w:val="00A8126B"/>
    <w:rsid w:val="00AA538A"/>
    <w:rsid w:val="00AB5337"/>
    <w:rsid w:val="00B42507"/>
    <w:rsid w:val="00B73042"/>
    <w:rsid w:val="00B83864"/>
    <w:rsid w:val="00BE1422"/>
    <w:rsid w:val="00C577B3"/>
    <w:rsid w:val="00C616B2"/>
    <w:rsid w:val="00C64B9F"/>
    <w:rsid w:val="00C65ECF"/>
    <w:rsid w:val="00CC33A8"/>
    <w:rsid w:val="00D05038"/>
    <w:rsid w:val="00D42184"/>
    <w:rsid w:val="00D873DB"/>
    <w:rsid w:val="00DA3BE2"/>
    <w:rsid w:val="00DD0012"/>
    <w:rsid w:val="00E07C2F"/>
    <w:rsid w:val="00E35209"/>
    <w:rsid w:val="00E8012C"/>
    <w:rsid w:val="00E84819"/>
    <w:rsid w:val="00E86FF1"/>
    <w:rsid w:val="00E958AE"/>
    <w:rsid w:val="00EB17F7"/>
    <w:rsid w:val="00ED172D"/>
    <w:rsid w:val="00EE1CF4"/>
    <w:rsid w:val="00F626A0"/>
    <w:rsid w:val="00F74652"/>
    <w:rsid w:val="00F82DCD"/>
    <w:rsid w:val="00FA7E4B"/>
    <w:rsid w:val="00FB04A8"/>
    <w:rsid w:val="00FD39EB"/>
    <w:rsid w:val="00FE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BF86C09A-CC5B-4A0B-BB07-88964A53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13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F20"/>
  </w:style>
  <w:style w:type="paragraph" w:styleId="Ttulo4">
    <w:name w:val="heading 4"/>
    <w:basedOn w:val="Normal"/>
    <w:next w:val="Normal"/>
    <w:link w:val="Ttulo4Char"/>
    <w:qFormat/>
    <w:rsid w:val="000E6BF5"/>
    <w:pPr>
      <w:keepNext/>
      <w:spacing w:before="0" w:line="240" w:lineRule="auto"/>
      <w:ind w:firstLine="0"/>
      <w:jc w:val="center"/>
      <w:outlineLvl w:val="3"/>
    </w:pPr>
    <w:rPr>
      <w:rFonts w:ascii="Arial" w:eastAsia="Times New Roman" w:hAnsi="Arial" w:cs="Times New Roman"/>
      <w:b/>
      <w:sz w:val="36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2E7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E7B"/>
  </w:style>
  <w:style w:type="paragraph" w:styleId="Rodap">
    <w:name w:val="footer"/>
    <w:basedOn w:val="Normal"/>
    <w:link w:val="RodapChar"/>
    <w:unhideWhenUsed/>
    <w:rsid w:val="00292E7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92E7B"/>
  </w:style>
  <w:style w:type="paragraph" w:styleId="PargrafodaLista">
    <w:name w:val="List Paragraph"/>
    <w:basedOn w:val="Normal"/>
    <w:uiPriority w:val="34"/>
    <w:qFormat/>
    <w:rsid w:val="00DD00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44C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44CF"/>
    <w:rPr>
      <w:rFonts w:ascii="Tahoma" w:hAnsi="Tahoma" w:cs="Tahoma"/>
      <w:sz w:val="16"/>
      <w:szCs w:val="16"/>
    </w:rPr>
  </w:style>
  <w:style w:type="character" w:customStyle="1" w:styleId="formdincampohtml">
    <w:name w:val="formdincampohtml"/>
    <w:basedOn w:val="Fontepargpadro"/>
    <w:rsid w:val="00994915"/>
  </w:style>
  <w:style w:type="paragraph" w:styleId="SemEspaamento">
    <w:name w:val="No Spacing"/>
    <w:uiPriority w:val="1"/>
    <w:qFormat/>
    <w:rsid w:val="007C4F59"/>
    <w:pPr>
      <w:spacing w:before="0" w:line="240" w:lineRule="auto"/>
    </w:pPr>
  </w:style>
  <w:style w:type="table" w:styleId="Tabelacomgrade">
    <w:name w:val="Table Grid"/>
    <w:basedOn w:val="Tabelanormal"/>
    <w:uiPriority w:val="59"/>
    <w:rsid w:val="00021539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rsid w:val="000E6BF5"/>
    <w:rPr>
      <w:rFonts w:ascii="Arial" w:eastAsia="Times New Roman" w:hAnsi="Arial" w:cs="Times New Roman"/>
      <w:b/>
      <w:sz w:val="36"/>
      <w:szCs w:val="20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1F12AE"/>
    <w:pPr>
      <w:spacing w:before="0" w:line="240" w:lineRule="auto"/>
      <w:ind w:firstLine="0"/>
      <w:jc w:val="left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1F12AE"/>
    <w:rPr>
      <w:rFonts w:ascii="Arial" w:eastAsia="Times New Roman" w:hAnsi="Arial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981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AMBIENTE</dc:creator>
  <cp:lastModifiedBy>User</cp:lastModifiedBy>
  <cp:revision>5</cp:revision>
  <cp:lastPrinted>2024-04-11T17:11:00Z</cp:lastPrinted>
  <dcterms:created xsi:type="dcterms:W3CDTF">2025-08-06T16:49:00Z</dcterms:created>
  <dcterms:modified xsi:type="dcterms:W3CDTF">2025-08-19T12:15:00Z</dcterms:modified>
</cp:coreProperties>
</file>