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01" w:rsidRPr="00424353" w:rsidRDefault="004D4E01" w:rsidP="00424353">
      <w:pPr>
        <w:pStyle w:val="Default"/>
        <w:spacing w:line="360" w:lineRule="auto"/>
        <w:jc w:val="center"/>
        <w:rPr>
          <w:rFonts w:ascii="Calibri" w:hAnsi="Calibri" w:cs="Calibri"/>
          <w:b/>
        </w:rPr>
      </w:pPr>
      <w:r w:rsidRPr="00424353">
        <w:rPr>
          <w:rFonts w:ascii="Calibri" w:hAnsi="Calibri" w:cs="Calibri"/>
          <w:b/>
        </w:rPr>
        <w:t>Resolução COMMAM n° 01/2025</w:t>
      </w:r>
    </w:p>
    <w:p w:rsidR="004D4E01" w:rsidRPr="00872C82" w:rsidRDefault="004D4E01" w:rsidP="00872C82">
      <w:pPr>
        <w:pStyle w:val="Default"/>
        <w:spacing w:line="360" w:lineRule="auto"/>
        <w:rPr>
          <w:rFonts w:ascii="Calibri" w:hAnsi="Calibri" w:cs="Calibri"/>
        </w:rPr>
      </w:pPr>
    </w:p>
    <w:p w:rsidR="00E62793" w:rsidRPr="00872C82" w:rsidRDefault="004D4E01" w:rsidP="00927669">
      <w:pPr>
        <w:spacing w:line="240" w:lineRule="auto"/>
        <w:ind w:left="3458"/>
        <w:jc w:val="both"/>
        <w:rPr>
          <w:rFonts w:ascii="Calibri" w:hAnsi="Calibri" w:cs="Calibri"/>
          <w:sz w:val="24"/>
          <w:szCs w:val="24"/>
        </w:rPr>
      </w:pPr>
      <w:r w:rsidRPr="00872C82">
        <w:rPr>
          <w:rFonts w:ascii="Calibri" w:hAnsi="Calibri" w:cs="Calibri"/>
          <w:sz w:val="24"/>
          <w:szCs w:val="24"/>
        </w:rPr>
        <w:t xml:space="preserve"> Dispõe sobre o estabelecimento de atividades passíveis de licenciamento ambiental no Município de Quirinópolis-GO, e adota a Resolução </w:t>
      </w:r>
      <w:proofErr w:type="spellStart"/>
      <w:r w:rsidRPr="00872C82">
        <w:rPr>
          <w:rFonts w:ascii="Calibri" w:hAnsi="Calibri" w:cs="Calibri"/>
          <w:sz w:val="24"/>
          <w:szCs w:val="24"/>
        </w:rPr>
        <w:t>CEMAm</w:t>
      </w:r>
      <w:proofErr w:type="spellEnd"/>
      <w:r w:rsidRPr="00872C82">
        <w:rPr>
          <w:rFonts w:ascii="Calibri" w:hAnsi="Calibri" w:cs="Calibri"/>
          <w:sz w:val="24"/>
          <w:szCs w:val="24"/>
        </w:rPr>
        <w:t xml:space="preserve"> nº 259, de 29 de maio de 2024, em observância ao disposto no art. 6º da Lei nº 20.694/2019 e Anexo Único do Decreto Estadual nº 9.710/2020 e suas atualizações, desde que</w:t>
      </w:r>
      <w:r w:rsidR="00424353">
        <w:rPr>
          <w:rFonts w:ascii="Calibri" w:hAnsi="Calibri" w:cs="Calibri"/>
          <w:sz w:val="24"/>
          <w:szCs w:val="24"/>
        </w:rPr>
        <w:t xml:space="preserve"> consideradas de impacto local,</w:t>
      </w:r>
      <w:r w:rsidR="00B612D6" w:rsidRPr="00872C82">
        <w:rPr>
          <w:rFonts w:ascii="Calibri" w:hAnsi="Calibri" w:cs="Calibri"/>
          <w:sz w:val="24"/>
          <w:szCs w:val="24"/>
        </w:rPr>
        <w:t xml:space="preserve"> </w:t>
      </w:r>
      <w:r w:rsidRPr="00872C82">
        <w:rPr>
          <w:rFonts w:ascii="Calibri" w:hAnsi="Calibri" w:cs="Calibri"/>
          <w:sz w:val="24"/>
          <w:szCs w:val="24"/>
        </w:rPr>
        <w:t>por Resolução específica do Conselho Estadual do Meio Ambiente (</w:t>
      </w:r>
      <w:proofErr w:type="spellStart"/>
      <w:r w:rsidRPr="00872C82">
        <w:rPr>
          <w:rFonts w:ascii="Calibri" w:hAnsi="Calibri" w:cs="Calibri"/>
          <w:sz w:val="24"/>
          <w:szCs w:val="24"/>
        </w:rPr>
        <w:t>CEMAm</w:t>
      </w:r>
      <w:proofErr w:type="spellEnd"/>
      <w:r w:rsidRPr="00872C82">
        <w:rPr>
          <w:rFonts w:ascii="Calibri" w:hAnsi="Calibri" w:cs="Calibri"/>
          <w:sz w:val="24"/>
          <w:szCs w:val="24"/>
        </w:rPr>
        <w:t>).</w:t>
      </w:r>
    </w:p>
    <w:p w:rsidR="004D4E01" w:rsidRPr="00872C82" w:rsidRDefault="004D4E01" w:rsidP="00872C82">
      <w:pPr>
        <w:spacing w:line="360" w:lineRule="auto"/>
        <w:ind w:left="3458"/>
        <w:jc w:val="both"/>
        <w:rPr>
          <w:rFonts w:ascii="Calibri" w:hAnsi="Calibri" w:cs="Calibri"/>
          <w:sz w:val="24"/>
          <w:szCs w:val="24"/>
        </w:rPr>
      </w:pPr>
    </w:p>
    <w:p w:rsidR="004D4E01" w:rsidRPr="00872C82" w:rsidRDefault="004D4E01" w:rsidP="00872C82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4D4E01" w:rsidRPr="00872C82" w:rsidRDefault="004D4E01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 xml:space="preserve"> O </w:t>
      </w:r>
      <w:r w:rsidRPr="00872C82">
        <w:rPr>
          <w:rFonts w:ascii="Calibri" w:hAnsi="Calibri" w:cs="Calibri"/>
          <w:b/>
          <w:bCs/>
        </w:rPr>
        <w:t>CONSELHO MUNICIPAL DE MEIO AMBIENTE (COMMAM)</w:t>
      </w:r>
      <w:r w:rsidRPr="00872C82">
        <w:rPr>
          <w:rFonts w:ascii="Calibri" w:hAnsi="Calibri" w:cs="Calibri"/>
        </w:rPr>
        <w:t>, no uso de suas atribuições legais e regulamentares que lhe fora</w:t>
      </w:r>
      <w:r w:rsidR="004F0807">
        <w:rPr>
          <w:rFonts w:ascii="Calibri" w:hAnsi="Calibri" w:cs="Calibri"/>
        </w:rPr>
        <w:t>m conferidas pela Lei Municipal n°02 de 11 de junho de 2002</w:t>
      </w:r>
      <w:r w:rsidR="00641BC9" w:rsidRPr="00872C82">
        <w:rPr>
          <w:rFonts w:ascii="Calibri" w:hAnsi="Calibri" w:cs="Calibri"/>
        </w:rPr>
        <w:t xml:space="preserve">, reuniu-se </w:t>
      </w:r>
      <w:r w:rsidRPr="00872C82">
        <w:rPr>
          <w:rFonts w:ascii="Calibri" w:hAnsi="Calibri" w:cs="Calibri"/>
        </w:rPr>
        <w:t>o</w:t>
      </w:r>
      <w:r w:rsidR="004F0807">
        <w:rPr>
          <w:rFonts w:ascii="Calibri" w:hAnsi="Calibri" w:cs="Calibri"/>
        </w:rPr>
        <w:t>rdinariamente no dia 29 de agosto de 2025</w:t>
      </w:r>
      <w:r w:rsidRPr="00872C82">
        <w:rPr>
          <w:rFonts w:ascii="Calibri" w:hAnsi="Calibri" w:cs="Calibri"/>
        </w:rPr>
        <w:t xml:space="preserve">, após prévia e regular convocação, com objetivo de adequar os métodos de licenciamento municipal em consonância com a legislação estadual vigente, aprovou a adoção da resolução </w:t>
      </w:r>
      <w:proofErr w:type="spellStart"/>
      <w:r w:rsidRPr="00872C82">
        <w:rPr>
          <w:rFonts w:ascii="Calibri" w:hAnsi="Calibri" w:cs="Calibri"/>
        </w:rPr>
        <w:t>CEMAm</w:t>
      </w:r>
      <w:proofErr w:type="spellEnd"/>
      <w:r w:rsidRPr="00872C82">
        <w:rPr>
          <w:rFonts w:ascii="Calibri" w:hAnsi="Calibri" w:cs="Calibri"/>
        </w:rPr>
        <w:t xml:space="preserve"> nº 259/2024, conforme constante da ata que tudo registrou; </w:t>
      </w:r>
    </w:p>
    <w:p w:rsidR="004D4E01" w:rsidRPr="00872C82" w:rsidRDefault="004D4E01" w:rsidP="00872C82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4D4E01" w:rsidRPr="00872C82" w:rsidRDefault="004D4E01" w:rsidP="00872C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72C82">
        <w:rPr>
          <w:rFonts w:ascii="Calibri" w:hAnsi="Calibri" w:cs="Calibri"/>
          <w:b/>
          <w:bCs/>
          <w:sz w:val="24"/>
          <w:szCs w:val="24"/>
        </w:rPr>
        <w:t xml:space="preserve">CONSIDERANDO </w:t>
      </w:r>
      <w:r w:rsidRPr="00872C82">
        <w:rPr>
          <w:rFonts w:ascii="Calibri" w:hAnsi="Calibri" w:cs="Calibri"/>
          <w:sz w:val="24"/>
          <w:szCs w:val="24"/>
        </w:rPr>
        <w:t>as orientações constantes da Consulta realizada junto à Secretaria de Estado de Meio Ambiente e Desenvolvimento Sustentável – SEMAD e Conselho Estadual do Meio Ambient</w:t>
      </w:r>
      <w:r w:rsidR="007F163D">
        <w:rPr>
          <w:rFonts w:ascii="Calibri" w:hAnsi="Calibri" w:cs="Calibri"/>
          <w:sz w:val="24"/>
          <w:szCs w:val="24"/>
        </w:rPr>
        <w:t>e – CEMAM, conforme Processo nº202100017013035</w:t>
      </w:r>
      <w:r w:rsidRPr="00872C82">
        <w:rPr>
          <w:rFonts w:ascii="Calibri" w:hAnsi="Calibri" w:cs="Calibri"/>
          <w:sz w:val="24"/>
          <w:szCs w:val="24"/>
        </w:rPr>
        <w:t xml:space="preserve">, e oficio nº 4473/2025/SEMAD, que recomendou adoção integral da Resolução </w:t>
      </w:r>
      <w:proofErr w:type="spellStart"/>
      <w:r w:rsidRPr="00872C82">
        <w:rPr>
          <w:rFonts w:ascii="Calibri" w:hAnsi="Calibri" w:cs="Calibri"/>
          <w:sz w:val="24"/>
          <w:szCs w:val="24"/>
        </w:rPr>
        <w:t>CEMAm</w:t>
      </w:r>
      <w:proofErr w:type="spellEnd"/>
      <w:r w:rsidRPr="00872C82">
        <w:rPr>
          <w:rFonts w:ascii="Calibri" w:hAnsi="Calibri" w:cs="Calibri"/>
          <w:sz w:val="24"/>
          <w:szCs w:val="24"/>
        </w:rPr>
        <w:t xml:space="preserve"> nº 259, de 2024;</w:t>
      </w:r>
    </w:p>
    <w:p w:rsidR="004D4E01" w:rsidRPr="00872C82" w:rsidRDefault="004D4E01" w:rsidP="00872C82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4D4E01" w:rsidRPr="00872C82" w:rsidRDefault="004D4E01" w:rsidP="00872C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72C82">
        <w:rPr>
          <w:rFonts w:ascii="Calibri" w:hAnsi="Calibri" w:cs="Calibri"/>
          <w:sz w:val="24"/>
          <w:szCs w:val="24"/>
        </w:rPr>
        <w:t xml:space="preserve"> </w:t>
      </w:r>
      <w:r w:rsidRPr="00872C82">
        <w:rPr>
          <w:rFonts w:ascii="Calibri" w:hAnsi="Calibri" w:cs="Calibri"/>
          <w:b/>
          <w:bCs/>
          <w:sz w:val="24"/>
          <w:szCs w:val="24"/>
        </w:rPr>
        <w:t>RESOLVE:</w:t>
      </w:r>
    </w:p>
    <w:p w:rsidR="004D4E01" w:rsidRDefault="004D4E01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 xml:space="preserve">Art. 1 º Adotar a Resolução </w:t>
      </w:r>
      <w:proofErr w:type="spellStart"/>
      <w:r w:rsidRPr="00872C82">
        <w:rPr>
          <w:rFonts w:ascii="Calibri" w:hAnsi="Calibri" w:cs="Calibri"/>
        </w:rPr>
        <w:t>CEMAm</w:t>
      </w:r>
      <w:proofErr w:type="spellEnd"/>
      <w:r w:rsidRPr="00872C82">
        <w:rPr>
          <w:rFonts w:ascii="Calibri" w:hAnsi="Calibri" w:cs="Calibri"/>
        </w:rPr>
        <w:t xml:space="preserve"> nº 259 de 29 de maio de 2024, com as alterações de seu respectivo anexo, que faz parte integrante da Resolução, com exceção das atividades descritas no art. 3º desta resolução. </w:t>
      </w:r>
    </w:p>
    <w:p w:rsidR="00424353" w:rsidRPr="00872C82" w:rsidRDefault="00424353" w:rsidP="00872C82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4D4E01" w:rsidRPr="00872C82" w:rsidRDefault="004D4E01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 xml:space="preserve">Art. 2º - Os pedidos de licenciamento ambiental protocolados até a data de publicação desta Resolução seguirão as normas e resoluções até então vigentes. </w:t>
      </w:r>
    </w:p>
    <w:p w:rsidR="004D4E01" w:rsidRPr="00872C82" w:rsidRDefault="004D4E01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lastRenderedPageBreak/>
        <w:t xml:space="preserve">Art. 3° - </w:t>
      </w:r>
      <w:r w:rsidR="00B612D6" w:rsidRPr="00872C82">
        <w:rPr>
          <w:rFonts w:ascii="Calibri" w:hAnsi="Calibri" w:cs="Calibri"/>
        </w:rPr>
        <w:t>Em conformidade com o art. 2º, § 2º, da Resolução CEMAM nº 259/2024, embora as atividades estejam dispensadas de licenciamento pelo Estado, o COMMAM estabelece que passam a ser consideradas licenciáveis, no âmbito municipal, as seguintes atividades de impacto local:</w:t>
      </w:r>
    </w:p>
    <w:p w:rsidR="00B612D6" w:rsidRPr="00872C82" w:rsidRDefault="00B612D6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>I - Borracharia, alinhamento, balanceamento ou manutenção de veículos.</w:t>
      </w:r>
    </w:p>
    <w:p w:rsidR="00B612D6" w:rsidRPr="00872C82" w:rsidRDefault="00B612D6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>II - Clínicas médicas e odontológicas, laboratórios de análise clínica, posto de coletas e clinicas veterinárias.</w:t>
      </w:r>
    </w:p>
    <w:p w:rsidR="00B612D6" w:rsidRPr="00872C82" w:rsidRDefault="00B612D6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>III - Coleta e armazenamento de resíduo reciclável;</w:t>
      </w:r>
    </w:p>
    <w:p w:rsidR="00B612D6" w:rsidRPr="00872C82" w:rsidRDefault="00424353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 - Comércio de gás GLP</w:t>
      </w:r>
      <w:r w:rsidR="00B612D6" w:rsidRPr="00872C82">
        <w:rPr>
          <w:rFonts w:ascii="Calibri" w:hAnsi="Calibri" w:cs="Calibri"/>
        </w:rPr>
        <w:t>;</w:t>
      </w:r>
    </w:p>
    <w:p w:rsidR="00B612D6" w:rsidRPr="00872C82" w:rsidRDefault="00B612D6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>V - Comércio varejista ou atacadista de madeira, lenha e outros produtos florestais;</w:t>
      </w:r>
    </w:p>
    <w:p w:rsidR="00B612D6" w:rsidRPr="00872C82" w:rsidRDefault="00B612D6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>VI - Consultórios de profissionais liberais, consultórios e clinicas médicas e odontológicas;</w:t>
      </w:r>
    </w:p>
    <w:p w:rsidR="00B612D6" w:rsidRPr="00872C82" w:rsidRDefault="00B612D6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>VII - Crematórios, funerárias e casas mortuárias;</w:t>
      </w:r>
    </w:p>
    <w:p w:rsidR="00B612D6" w:rsidRPr="00872C82" w:rsidRDefault="00424353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VIII - Estocagem de GLP;</w:t>
      </w:r>
    </w:p>
    <w:p w:rsidR="00B612D6" w:rsidRPr="00872C82" w:rsidRDefault="00B612D6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 xml:space="preserve">IX - Fabricação de produtos de </w:t>
      </w:r>
      <w:r w:rsidR="00424353">
        <w:rPr>
          <w:rFonts w:ascii="Calibri" w:hAnsi="Calibri" w:cs="Calibri"/>
        </w:rPr>
        <w:t>laticínios;</w:t>
      </w:r>
    </w:p>
    <w:p w:rsidR="00B612D6" w:rsidRPr="00872C82" w:rsidRDefault="00B612D6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 xml:space="preserve">X - Oficinas mecânicas; </w:t>
      </w:r>
    </w:p>
    <w:p w:rsidR="00B612D6" w:rsidRPr="00872C82" w:rsidRDefault="00B612D6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>XI - Resfriamento e distribuição de leite em instalações industria</w:t>
      </w:r>
      <w:r w:rsidR="00424353">
        <w:rPr>
          <w:rFonts w:ascii="Calibri" w:hAnsi="Calibri" w:cs="Calibri"/>
        </w:rPr>
        <w:t>is</w:t>
      </w:r>
      <w:r w:rsidRPr="00872C82">
        <w:rPr>
          <w:rFonts w:ascii="Calibri" w:hAnsi="Calibri" w:cs="Calibri"/>
        </w:rPr>
        <w:t>;</w:t>
      </w:r>
    </w:p>
    <w:p w:rsidR="00B612D6" w:rsidRDefault="00B612D6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>XII – Serviço de pulverização e controle de pragas agrícolas</w:t>
      </w:r>
      <w:r w:rsidR="00424353">
        <w:rPr>
          <w:rFonts w:ascii="Calibri" w:hAnsi="Calibri" w:cs="Calibri"/>
        </w:rPr>
        <w:t>;</w:t>
      </w:r>
    </w:p>
    <w:p w:rsidR="00424353" w:rsidRDefault="00424353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7F163D" w:rsidRPr="00872C82" w:rsidRDefault="007F163D" w:rsidP="00872C82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E22A30" w:rsidRPr="00872C82" w:rsidRDefault="00BC14D3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 w:rsidRPr="00872C82">
        <w:rPr>
          <w:rFonts w:ascii="Calibri" w:hAnsi="Calibri" w:cs="Calibri"/>
        </w:rPr>
        <w:t xml:space="preserve">Art.4º - </w:t>
      </w:r>
      <w:r w:rsidR="00424353">
        <w:rPr>
          <w:rFonts w:ascii="Calibri" w:hAnsi="Calibri" w:cs="Calibri"/>
        </w:rPr>
        <w:t>S</w:t>
      </w:r>
      <w:r w:rsidR="00E22A30" w:rsidRPr="00872C82">
        <w:rPr>
          <w:rFonts w:ascii="Calibri" w:hAnsi="Calibri" w:cs="Calibri"/>
        </w:rPr>
        <w:t>em prejuízo dos prazos estabelecidos no art. 16 do decreto 9.710/2020</w:t>
      </w:r>
      <w:r w:rsidR="007F163D">
        <w:rPr>
          <w:rFonts w:ascii="Calibri" w:hAnsi="Calibri" w:cs="Calibri"/>
        </w:rPr>
        <w:t> a</w:t>
      </w:r>
      <w:r w:rsidR="00E22A30" w:rsidRPr="00872C82">
        <w:rPr>
          <w:rFonts w:ascii="Calibri" w:hAnsi="Calibri" w:cs="Calibri"/>
        </w:rPr>
        <w:t>s licenças ambientais devem ser emitidas observados os seguintes prazos de validade:</w:t>
      </w:r>
    </w:p>
    <w:p w:rsidR="00E22A30" w:rsidRPr="00872C82" w:rsidRDefault="00E22A30" w:rsidP="00872C82">
      <w:pPr>
        <w:pStyle w:val="SemEspaamento"/>
        <w:spacing w:before="90" w:beforeAutospacing="0" w:after="90" w:afterAutospacing="0" w:line="360" w:lineRule="auto"/>
        <w:ind w:firstLine="1650"/>
        <w:jc w:val="both"/>
        <w:rPr>
          <w:rFonts w:ascii="Calibri" w:hAnsi="Calibri" w:cs="Calibri"/>
          <w:color w:val="000000"/>
        </w:rPr>
      </w:pPr>
      <w:r w:rsidRPr="00872C82">
        <w:rPr>
          <w:rFonts w:ascii="Calibri" w:hAnsi="Calibri" w:cs="Calibri"/>
          <w:color w:val="000000"/>
        </w:rPr>
        <w:t> </w:t>
      </w:r>
    </w:p>
    <w:p w:rsidR="00E22A30" w:rsidRPr="00872C82" w:rsidRDefault="00424353" w:rsidP="00872C82">
      <w:pPr>
        <w:pStyle w:val="SemEspaamento"/>
        <w:spacing w:before="90" w:beforeAutospacing="0" w:after="90" w:afterAutospacing="0" w:line="360" w:lineRule="auto"/>
        <w:ind w:firstLine="165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– P</w:t>
      </w:r>
      <w:r w:rsidR="00E22A30" w:rsidRPr="00872C82">
        <w:rPr>
          <w:rFonts w:ascii="Calibri" w:hAnsi="Calibri" w:cs="Calibri"/>
          <w:color w:val="000000"/>
        </w:rPr>
        <w:t xml:space="preserve">ara a </w:t>
      </w:r>
      <w:r>
        <w:rPr>
          <w:rFonts w:ascii="Calibri" w:hAnsi="Calibri" w:cs="Calibri"/>
          <w:color w:val="000000"/>
        </w:rPr>
        <w:t xml:space="preserve">licença previa - </w:t>
      </w:r>
      <w:r w:rsidR="00E22A30" w:rsidRPr="00872C82">
        <w:rPr>
          <w:rFonts w:ascii="Calibri" w:hAnsi="Calibri" w:cs="Calibri"/>
          <w:color w:val="000000"/>
        </w:rPr>
        <w:t xml:space="preserve">LP, </w:t>
      </w:r>
      <w:r w:rsidR="00ED4843" w:rsidRPr="00872C82">
        <w:rPr>
          <w:rFonts w:ascii="Calibri" w:hAnsi="Calibri" w:cs="Calibri"/>
          <w:color w:val="000000"/>
        </w:rPr>
        <w:t xml:space="preserve">validade de </w:t>
      </w:r>
      <w:r w:rsidR="00E22A30" w:rsidRPr="00872C82">
        <w:rPr>
          <w:rFonts w:ascii="Calibri" w:hAnsi="Calibri" w:cs="Calibri"/>
          <w:color w:val="000000"/>
        </w:rPr>
        <w:t>3 (três) anos;</w:t>
      </w:r>
    </w:p>
    <w:p w:rsidR="00E22A30" w:rsidRPr="00872C82" w:rsidRDefault="00424353" w:rsidP="00872C82">
      <w:pPr>
        <w:pStyle w:val="SemEspaamento"/>
        <w:spacing w:before="90" w:beforeAutospacing="0" w:after="90" w:afterAutospacing="0" w:line="360" w:lineRule="auto"/>
        <w:ind w:firstLine="165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II – P</w:t>
      </w:r>
      <w:r w:rsidR="00E22A30" w:rsidRPr="00872C82">
        <w:rPr>
          <w:rFonts w:ascii="Calibri" w:hAnsi="Calibri" w:cs="Calibri"/>
          <w:color w:val="000000"/>
        </w:rPr>
        <w:t xml:space="preserve">ara a </w:t>
      </w:r>
      <w:r>
        <w:rPr>
          <w:rFonts w:ascii="Calibri" w:hAnsi="Calibri" w:cs="Calibri"/>
          <w:color w:val="000000"/>
        </w:rPr>
        <w:t xml:space="preserve">licença de instalação - </w:t>
      </w:r>
      <w:r w:rsidR="00E22A30" w:rsidRPr="00872C82">
        <w:rPr>
          <w:rFonts w:ascii="Calibri" w:hAnsi="Calibri" w:cs="Calibri"/>
          <w:color w:val="000000"/>
        </w:rPr>
        <w:t xml:space="preserve">LI, </w:t>
      </w:r>
      <w:r w:rsidR="00ED4843" w:rsidRPr="00872C82">
        <w:rPr>
          <w:rFonts w:ascii="Calibri" w:hAnsi="Calibri" w:cs="Calibri"/>
          <w:color w:val="000000"/>
        </w:rPr>
        <w:t>validade de 05 (cinco) anos</w:t>
      </w:r>
    </w:p>
    <w:p w:rsidR="00E22A30" w:rsidRPr="00872C82" w:rsidRDefault="00424353" w:rsidP="00872C82">
      <w:pPr>
        <w:pStyle w:val="SemEspaamento"/>
        <w:spacing w:before="90" w:beforeAutospacing="0" w:after="90" w:afterAutospacing="0" w:line="360" w:lineRule="auto"/>
        <w:ind w:firstLine="165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III – P</w:t>
      </w:r>
      <w:r w:rsidR="00E22A30" w:rsidRPr="00872C82">
        <w:rPr>
          <w:rFonts w:ascii="Calibri" w:hAnsi="Calibri" w:cs="Calibri"/>
          <w:color w:val="000000"/>
        </w:rPr>
        <w:t xml:space="preserve">ara a </w:t>
      </w:r>
      <w:r>
        <w:rPr>
          <w:rFonts w:ascii="Calibri" w:hAnsi="Calibri" w:cs="Calibri"/>
          <w:color w:val="000000"/>
        </w:rPr>
        <w:t>licença por adesão e compromisso (</w:t>
      </w:r>
      <w:r w:rsidR="00E22A30" w:rsidRPr="00872C82">
        <w:rPr>
          <w:rFonts w:ascii="Calibri" w:hAnsi="Calibri" w:cs="Calibri"/>
          <w:color w:val="000000"/>
        </w:rPr>
        <w:t>LA</w:t>
      </w:r>
      <w:r w:rsidR="00872C82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)</w:t>
      </w:r>
      <w:r w:rsidR="00E22A30" w:rsidRPr="00872C82">
        <w:rPr>
          <w:rFonts w:ascii="Calibri" w:hAnsi="Calibri" w:cs="Calibri"/>
          <w:color w:val="000000"/>
        </w:rPr>
        <w:t xml:space="preserve">, a </w:t>
      </w:r>
      <w:r>
        <w:rPr>
          <w:rFonts w:ascii="Calibri" w:hAnsi="Calibri" w:cs="Calibri"/>
          <w:color w:val="000000"/>
        </w:rPr>
        <w:t>licença de operação (</w:t>
      </w:r>
      <w:r w:rsidR="00E22A30" w:rsidRPr="00872C82">
        <w:rPr>
          <w:rFonts w:ascii="Calibri" w:hAnsi="Calibri" w:cs="Calibri"/>
          <w:color w:val="000000"/>
        </w:rPr>
        <w:t>LO</w:t>
      </w:r>
      <w:r>
        <w:rPr>
          <w:rFonts w:ascii="Calibri" w:hAnsi="Calibri" w:cs="Calibri"/>
          <w:color w:val="000000"/>
        </w:rPr>
        <w:t>)</w:t>
      </w:r>
      <w:r w:rsidR="00E22A30" w:rsidRPr="00872C82">
        <w:rPr>
          <w:rFonts w:ascii="Calibri" w:hAnsi="Calibri" w:cs="Calibri"/>
          <w:color w:val="000000"/>
        </w:rPr>
        <w:t xml:space="preserve">, </w:t>
      </w:r>
      <w:r w:rsidR="00ED4843" w:rsidRPr="00872C82">
        <w:rPr>
          <w:rFonts w:ascii="Calibri" w:hAnsi="Calibri" w:cs="Calibri"/>
          <w:color w:val="000000"/>
        </w:rPr>
        <w:t xml:space="preserve">e a </w:t>
      </w:r>
      <w:r>
        <w:rPr>
          <w:rFonts w:ascii="Calibri" w:hAnsi="Calibri" w:cs="Calibri"/>
          <w:color w:val="000000"/>
        </w:rPr>
        <w:t>licença corretiva (</w:t>
      </w:r>
      <w:r w:rsidR="00ED4843" w:rsidRPr="00872C82">
        <w:rPr>
          <w:rFonts w:ascii="Calibri" w:hAnsi="Calibri" w:cs="Calibri"/>
          <w:color w:val="000000"/>
        </w:rPr>
        <w:t>LC</w:t>
      </w:r>
      <w:r>
        <w:rPr>
          <w:rFonts w:ascii="Calibri" w:hAnsi="Calibri" w:cs="Calibri"/>
          <w:color w:val="000000"/>
        </w:rPr>
        <w:t>)</w:t>
      </w:r>
      <w:r w:rsidR="00ED4843" w:rsidRPr="00872C82">
        <w:rPr>
          <w:rFonts w:ascii="Calibri" w:hAnsi="Calibri" w:cs="Calibri"/>
          <w:color w:val="000000"/>
        </w:rPr>
        <w:t>, validade de</w:t>
      </w:r>
      <w:r w:rsidR="00E22A30" w:rsidRPr="00872C82">
        <w:rPr>
          <w:rFonts w:ascii="Calibri" w:hAnsi="Calibri" w:cs="Calibri"/>
          <w:color w:val="000000"/>
        </w:rPr>
        <w:t xml:space="preserve"> 5 (cinco) anos</w:t>
      </w:r>
      <w:r w:rsidR="00872C82">
        <w:rPr>
          <w:rFonts w:ascii="Calibri" w:hAnsi="Calibri" w:cs="Calibri"/>
          <w:color w:val="000000"/>
        </w:rPr>
        <w:t xml:space="preserve">; </w:t>
      </w:r>
    </w:p>
    <w:p w:rsidR="00872C82" w:rsidRDefault="00E22A30" w:rsidP="00872C82">
      <w:pPr>
        <w:pStyle w:val="SemEspaamento"/>
        <w:spacing w:before="90" w:beforeAutospacing="0" w:after="90" w:afterAutospacing="0" w:line="360" w:lineRule="auto"/>
        <w:ind w:firstLine="1650"/>
        <w:jc w:val="both"/>
        <w:rPr>
          <w:rFonts w:ascii="Calibri" w:hAnsi="Calibri" w:cs="Calibri"/>
          <w:color w:val="000000"/>
        </w:rPr>
      </w:pPr>
      <w:r w:rsidRPr="00872C82">
        <w:rPr>
          <w:rFonts w:ascii="Calibri" w:hAnsi="Calibri" w:cs="Calibri"/>
          <w:color w:val="000000"/>
        </w:rPr>
        <w:t xml:space="preserve">IV </w:t>
      </w:r>
      <w:r w:rsidR="007F163D" w:rsidRPr="00872C82">
        <w:rPr>
          <w:rFonts w:ascii="Calibri" w:hAnsi="Calibri" w:cs="Calibri"/>
          <w:color w:val="000000"/>
        </w:rPr>
        <w:t xml:space="preserve">– </w:t>
      </w:r>
      <w:r w:rsidR="00424353">
        <w:rPr>
          <w:rFonts w:ascii="Calibri" w:hAnsi="Calibri" w:cs="Calibri"/>
          <w:color w:val="000000"/>
        </w:rPr>
        <w:t>P</w:t>
      </w:r>
      <w:r w:rsidR="007F163D">
        <w:rPr>
          <w:rFonts w:ascii="Calibri" w:hAnsi="Calibri" w:cs="Calibri"/>
          <w:color w:val="000000"/>
        </w:rPr>
        <w:t>ara</w:t>
      </w:r>
      <w:r w:rsidR="00872C82">
        <w:rPr>
          <w:rFonts w:ascii="Calibri" w:hAnsi="Calibri" w:cs="Calibri"/>
          <w:color w:val="000000"/>
        </w:rPr>
        <w:t xml:space="preserve"> </w:t>
      </w:r>
      <w:r w:rsidR="00424353">
        <w:rPr>
          <w:rFonts w:ascii="Calibri" w:hAnsi="Calibri" w:cs="Calibri"/>
          <w:color w:val="000000"/>
        </w:rPr>
        <w:t>licença ambiental simplificada (</w:t>
      </w:r>
      <w:r w:rsidR="00872C82">
        <w:rPr>
          <w:rFonts w:ascii="Calibri" w:hAnsi="Calibri" w:cs="Calibri"/>
          <w:color w:val="000000"/>
        </w:rPr>
        <w:t>LAS</w:t>
      </w:r>
      <w:r w:rsidR="00424353">
        <w:rPr>
          <w:rFonts w:ascii="Calibri" w:hAnsi="Calibri" w:cs="Calibri"/>
          <w:color w:val="000000"/>
        </w:rPr>
        <w:t>)</w:t>
      </w:r>
      <w:r w:rsidR="00872C82">
        <w:rPr>
          <w:rFonts w:ascii="Calibri" w:hAnsi="Calibri" w:cs="Calibri"/>
          <w:color w:val="000000"/>
        </w:rPr>
        <w:t>, validade de 03 (três) anos; e</w:t>
      </w:r>
    </w:p>
    <w:p w:rsidR="00E22A30" w:rsidRPr="00872C82" w:rsidRDefault="00872C82" w:rsidP="00872C82">
      <w:pPr>
        <w:pStyle w:val="SemEspaamento"/>
        <w:spacing w:before="90" w:beforeAutospacing="0" w:after="90" w:afterAutospacing="0" w:line="360" w:lineRule="auto"/>
        <w:ind w:firstLine="165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V - </w:t>
      </w:r>
      <w:r w:rsidR="00E22A30" w:rsidRPr="00872C82">
        <w:rPr>
          <w:rFonts w:ascii="Calibri" w:hAnsi="Calibri" w:cs="Calibri"/>
          <w:color w:val="000000"/>
        </w:rPr>
        <w:t xml:space="preserve">o prazo de validade da </w:t>
      </w:r>
      <w:r w:rsidR="00424353">
        <w:rPr>
          <w:rFonts w:ascii="Calibri" w:hAnsi="Calibri" w:cs="Calibri"/>
          <w:color w:val="000000"/>
        </w:rPr>
        <w:t>licença de ampliação (</w:t>
      </w:r>
      <w:r w:rsidR="00E22A30" w:rsidRPr="00872C82">
        <w:rPr>
          <w:rFonts w:ascii="Calibri" w:hAnsi="Calibri" w:cs="Calibri"/>
          <w:color w:val="000000"/>
        </w:rPr>
        <w:t>LA</w:t>
      </w:r>
      <w:r w:rsidR="00424353">
        <w:rPr>
          <w:rFonts w:ascii="Calibri" w:hAnsi="Calibri" w:cs="Calibri"/>
          <w:color w:val="000000"/>
        </w:rPr>
        <w:t>)</w:t>
      </w:r>
      <w:r w:rsidR="00E22A30" w:rsidRPr="00872C82">
        <w:rPr>
          <w:rFonts w:ascii="Calibri" w:hAnsi="Calibri" w:cs="Calibri"/>
          <w:color w:val="000000"/>
        </w:rPr>
        <w:t xml:space="preserve"> corresponderá ao período de validade restante da licença em vigor do empreendimento ampliado ou alterado e será de, no mínimo, 2 (dois) anos.</w:t>
      </w:r>
    </w:p>
    <w:p w:rsidR="00E22A30" w:rsidRPr="00872C82" w:rsidRDefault="00E22A30" w:rsidP="00872C82">
      <w:pPr>
        <w:pStyle w:val="SemEspaamento"/>
        <w:spacing w:before="90" w:beforeAutospacing="0" w:after="90" w:afterAutospacing="0" w:line="360" w:lineRule="auto"/>
        <w:ind w:firstLine="1650"/>
        <w:jc w:val="both"/>
        <w:rPr>
          <w:rFonts w:ascii="Calibri" w:hAnsi="Calibri" w:cs="Calibri"/>
          <w:color w:val="000000"/>
        </w:rPr>
      </w:pPr>
      <w:r w:rsidRPr="00872C82">
        <w:rPr>
          <w:rFonts w:ascii="Calibri" w:hAnsi="Calibri" w:cs="Calibri"/>
          <w:color w:val="000000"/>
        </w:rPr>
        <w:t>§ 1º A licença será concedida para o período de funcionamento indicado pelo empreendedor sempre que a atividade ou empreendimento for temporário.</w:t>
      </w:r>
    </w:p>
    <w:p w:rsidR="00E22A30" w:rsidRPr="00872C82" w:rsidRDefault="00E22A30" w:rsidP="00872C82">
      <w:pPr>
        <w:pStyle w:val="SemEspaamento"/>
        <w:spacing w:before="90" w:beforeAutospacing="0" w:after="90" w:afterAutospacing="0" w:line="360" w:lineRule="auto"/>
        <w:ind w:firstLine="1650"/>
        <w:jc w:val="both"/>
        <w:rPr>
          <w:rFonts w:ascii="Calibri" w:hAnsi="Calibri" w:cs="Calibri"/>
          <w:color w:val="000000"/>
        </w:rPr>
      </w:pPr>
      <w:r w:rsidRPr="00872C82">
        <w:rPr>
          <w:rFonts w:ascii="Calibri" w:hAnsi="Calibri" w:cs="Calibri"/>
          <w:color w:val="000000"/>
        </w:rPr>
        <w:t>§ 2º Os prazos máximos de validade das licenças previstas no </w:t>
      </w:r>
      <w:r w:rsidRPr="00872C82">
        <w:rPr>
          <w:rFonts w:ascii="Calibri" w:hAnsi="Calibri" w:cs="Calibri"/>
          <w:i/>
          <w:iCs/>
          <w:color w:val="000000"/>
        </w:rPr>
        <w:t>caput </w:t>
      </w:r>
      <w:r w:rsidRPr="00872C82">
        <w:rPr>
          <w:rFonts w:ascii="Calibri" w:hAnsi="Calibri" w:cs="Calibri"/>
          <w:color w:val="000000"/>
        </w:rPr>
        <w:t>deste artigo serão determinados pela autoridade licenciadora, de forma justificada, e as licenças não poderão ser emitidas por período indeterminado;</w:t>
      </w:r>
    </w:p>
    <w:p w:rsidR="00424353" w:rsidRDefault="00424353" w:rsidP="00424353">
      <w:pPr>
        <w:pStyle w:val="SemEspaamento"/>
        <w:spacing w:before="90" w:beforeAutospacing="0" w:after="90" w:afterAutospacing="0" w:line="360" w:lineRule="auto"/>
        <w:jc w:val="both"/>
        <w:rPr>
          <w:rFonts w:ascii="Calibri" w:hAnsi="Calibri" w:cs="Calibri"/>
          <w:color w:val="000000"/>
        </w:rPr>
      </w:pPr>
    </w:p>
    <w:p w:rsidR="00E22A30" w:rsidRPr="007F163D" w:rsidRDefault="00ED4843" w:rsidP="00424353">
      <w:pPr>
        <w:pStyle w:val="SemEspaamento"/>
        <w:spacing w:before="90" w:beforeAutospacing="0" w:after="90" w:afterAutospacing="0" w:line="360" w:lineRule="auto"/>
        <w:jc w:val="both"/>
        <w:rPr>
          <w:rFonts w:ascii="Calibri" w:hAnsi="Calibri" w:cs="Calibri"/>
          <w:color w:val="000000"/>
        </w:rPr>
      </w:pPr>
      <w:r w:rsidRPr="00872C82">
        <w:rPr>
          <w:rFonts w:ascii="Calibri" w:hAnsi="Calibri" w:cs="Calibri"/>
          <w:color w:val="000000"/>
        </w:rPr>
        <w:t>Art. 5º - A renovação da licença ambiental deverá ser requerida com a antecedência mínima de 120 (cento e vinte) dias da expiração de seu prazo de validade, e ele ficará automaticamente prorrogado até a manifestação definitiva da autoridade licenciadora.</w:t>
      </w:r>
    </w:p>
    <w:p w:rsidR="007F163D" w:rsidRDefault="007F163D" w:rsidP="00872C82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4D4E01" w:rsidRDefault="00927669" w:rsidP="00872C82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Art. 6</w:t>
      </w:r>
      <w:r w:rsidR="004D4E01" w:rsidRPr="00872C82">
        <w:rPr>
          <w:rFonts w:ascii="Calibri" w:hAnsi="Calibri" w:cs="Calibri"/>
        </w:rPr>
        <w:t xml:space="preserve">º - Os casos omissos desta Resolução serão resolvidos pelo </w:t>
      </w:r>
      <w:proofErr w:type="spellStart"/>
      <w:r w:rsidR="004D4E01" w:rsidRPr="00872C82">
        <w:rPr>
          <w:rFonts w:ascii="Calibri" w:hAnsi="Calibri" w:cs="Calibri"/>
        </w:rPr>
        <w:t>COMMAm</w:t>
      </w:r>
      <w:proofErr w:type="spellEnd"/>
      <w:r w:rsidR="004D4E01" w:rsidRPr="00872C82">
        <w:rPr>
          <w:rFonts w:ascii="Calibri" w:hAnsi="Calibri" w:cs="Calibri"/>
        </w:rPr>
        <w:t xml:space="preserve">. </w:t>
      </w:r>
    </w:p>
    <w:p w:rsidR="007F163D" w:rsidRPr="00872C82" w:rsidRDefault="007F163D" w:rsidP="00872C82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4D4E01" w:rsidRPr="00872C82" w:rsidRDefault="00927669" w:rsidP="00872C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7</w:t>
      </w:r>
      <w:r w:rsidR="004D4E01" w:rsidRPr="00872C82">
        <w:rPr>
          <w:rFonts w:ascii="Calibri" w:hAnsi="Calibri" w:cs="Calibri"/>
          <w:sz w:val="24"/>
          <w:szCs w:val="24"/>
        </w:rPr>
        <w:t>º - Esta Resolução entra em vigor na data de sua publicação, revogando-se as disposições em contrário.</w:t>
      </w:r>
    </w:p>
    <w:sectPr w:rsidR="004D4E01" w:rsidRPr="00872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01"/>
    <w:rsid w:val="000739DE"/>
    <w:rsid w:val="00424353"/>
    <w:rsid w:val="004D4E01"/>
    <w:rsid w:val="004F0807"/>
    <w:rsid w:val="00641BC9"/>
    <w:rsid w:val="007F163D"/>
    <w:rsid w:val="00872C82"/>
    <w:rsid w:val="00927669"/>
    <w:rsid w:val="00B612D6"/>
    <w:rsid w:val="00BC14D3"/>
    <w:rsid w:val="00E22A30"/>
    <w:rsid w:val="00E62793"/>
    <w:rsid w:val="00E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E129-8CE0-4F20-8328-533C8787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4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2D6"/>
    <w:rPr>
      <w:rFonts w:ascii="Segoe UI" w:hAnsi="Segoe UI" w:cs="Segoe UI"/>
      <w:sz w:val="18"/>
      <w:szCs w:val="18"/>
    </w:rPr>
  </w:style>
  <w:style w:type="paragraph" w:styleId="SemEspaamento">
    <w:name w:val="No Spacing"/>
    <w:basedOn w:val="Normal"/>
    <w:uiPriority w:val="1"/>
    <w:qFormat/>
    <w:rsid w:val="00E2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D4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2025-08-26T19:08:00Z</cp:lastPrinted>
  <dcterms:created xsi:type="dcterms:W3CDTF">2025-06-12T17:29:00Z</dcterms:created>
  <dcterms:modified xsi:type="dcterms:W3CDTF">2025-08-29T19:30:00Z</dcterms:modified>
</cp:coreProperties>
</file>